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F2ACFF" w14:textId="12718FAD" w:rsidR="009F392E" w:rsidRPr="00A26D1D" w:rsidRDefault="00A26D1D" w:rsidP="00F0533E">
      <w:pPr>
        <w:rPr>
          <w:b/>
        </w:rPr>
      </w:pPr>
      <w:r w:rsidRPr="00453015">
        <w:rPr>
          <w:b/>
          <w:noProof/>
        </w:rPr>
        <w:t xml:space="preserve">Příloha Výzvy č. </w:t>
      </w:r>
      <w:r w:rsidR="00453015" w:rsidRPr="00453015">
        <w:rPr>
          <w:b/>
          <w:noProof/>
        </w:rPr>
        <w:t xml:space="preserve">4 </w:t>
      </w:r>
      <w:r w:rsidRPr="00453015">
        <w:rPr>
          <w:b/>
          <w:noProof/>
        </w:rPr>
        <w:t>Bližší specifikace</w:t>
      </w:r>
      <w:r w:rsidRPr="00453015">
        <w:rPr>
          <w:b/>
        </w:rPr>
        <w:t xml:space="preserve"> předmětu plnění</w:t>
      </w:r>
      <w:bookmarkStart w:id="0" w:name="_GoBack"/>
      <w:bookmarkEnd w:id="0"/>
    </w:p>
    <w:p w14:paraId="37E37DF1" w14:textId="77777777" w:rsidR="00A26D1D" w:rsidRDefault="00A26D1D" w:rsidP="00F0533E"/>
    <w:p w14:paraId="2EC854F6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Jednorázové činnosti</w:t>
      </w:r>
    </w:p>
    <w:p w14:paraId="567024BA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273DD8BA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Licence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eSight</w:t>
      </w:r>
      <w:proofErr w:type="spellEnd"/>
    </w:p>
    <w:p w14:paraId="0AB0134B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 rámci podpory monitorovacího nástroje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eSight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zadavatel požaduje dodat následující licence pro aktuálně monitorované prvky:</w:t>
      </w:r>
    </w:p>
    <w:p w14:paraId="1FE0CECF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tbl>
      <w:tblPr>
        <w:tblW w:w="8060" w:type="dxa"/>
        <w:tblInd w:w="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2040"/>
        <w:gridCol w:w="3640"/>
        <w:gridCol w:w="960"/>
      </w:tblGrid>
      <w:tr w:rsidR="0071714C" w:rsidRPr="0071714C" w14:paraId="70246D68" w14:textId="77777777" w:rsidTr="001A0059">
        <w:trPr>
          <w:trHeight w:val="48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E6A9546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Part </w:t>
            </w:r>
            <w:proofErr w:type="spellStart"/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Number</w:t>
            </w:r>
            <w:proofErr w:type="spellEnd"/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29ED4924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Model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0F1BB216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9CCFF"/>
            <w:vAlign w:val="center"/>
            <w:hideMark/>
          </w:tcPr>
          <w:p w14:paraId="348BBED3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Počet ks</w:t>
            </w:r>
          </w:p>
        </w:tc>
      </w:tr>
      <w:tr w:rsidR="0071714C" w:rsidRPr="0071714C" w14:paraId="439E7592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16EF" w14:textId="77777777" w:rsidR="0071714C" w:rsidRPr="0071714C" w:rsidRDefault="0071714C" w:rsidP="00717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94E1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30F321DB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14:paraId="3111495E" w14:textId="77777777" w:rsidR="0071714C" w:rsidRPr="0071714C" w:rsidRDefault="0071714C" w:rsidP="00717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14:paraId="7F386121" w14:textId="77777777" w:rsidR="0071714C" w:rsidRPr="0071714C" w:rsidRDefault="0071714C" w:rsidP="00717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1C65155C" w14:textId="77777777" w:rsidTr="001A0059">
        <w:trPr>
          <w:trHeight w:val="255"/>
        </w:trPr>
        <w:tc>
          <w:tcPr>
            <w:tcW w:w="7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14:paraId="7A669390" w14:textId="77777777" w:rsidR="0071714C" w:rsidRPr="0071714C" w:rsidRDefault="0071714C" w:rsidP="0071714C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V300R008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3806AE" w14:textId="77777777" w:rsidR="0071714C" w:rsidRPr="0071714C" w:rsidRDefault="0071714C" w:rsidP="0071714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1714C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71714C" w:rsidRPr="0071714C" w14:paraId="0696F8EA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1D39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88063856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F363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NSHSPLATFMS1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1B85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Platform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8F37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</w:tr>
      <w:tr w:rsidR="0071714C" w:rsidRPr="0071714C" w14:paraId="7866BAC7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EADE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88063859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39E3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NSHSSNWMGRS1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A13E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Network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90F5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</w:tr>
      <w:tr w:rsidR="0071714C" w:rsidRPr="0071714C" w14:paraId="683A58B9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51D7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88063878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6E28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NSHSSEVMGRS1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F88D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Server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3B86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21</w:t>
            </w:r>
          </w:p>
        </w:tc>
      </w:tr>
      <w:tr w:rsidR="0071714C" w:rsidRPr="0071714C" w14:paraId="73E77B32" w14:textId="77777777" w:rsidTr="001A0059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9144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88063944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B24D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NSHSSTRMGRS1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EA38" w14:textId="77777777" w:rsidR="0071714C" w:rsidRPr="0071714C" w:rsidRDefault="0071714C" w:rsidP="0071714C">
            <w:pPr>
              <w:spacing w:after="0" w:line="240" w:lineRule="auto"/>
              <w:outlineLvl w:val="1"/>
              <w:rPr>
                <w:rFonts w:ascii="Arial" w:eastAsia="Times New Roman" w:hAnsi="Arial" w:cs="Arial"/>
                <w:lang w:eastAsia="cs-CZ"/>
              </w:rPr>
            </w:pP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eSight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Storage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Management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License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Year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Subscription</w:t>
            </w:r>
            <w:proofErr w:type="spellEnd"/>
            <w:r w:rsidRPr="0071714C">
              <w:rPr>
                <w:rFonts w:ascii="Arial" w:eastAsia="Times New Roman" w:hAnsi="Arial" w:cs="Arial"/>
                <w:lang w:eastAsia="cs-CZ"/>
              </w:rPr>
              <w:t xml:space="preserve"> and Support, 1 </w:t>
            </w:r>
            <w:proofErr w:type="spellStart"/>
            <w:r w:rsidRPr="0071714C">
              <w:rPr>
                <w:rFonts w:ascii="Arial" w:eastAsia="Times New Roman" w:hAnsi="Arial" w:cs="Arial"/>
                <w:lang w:eastAsia="cs-CZ"/>
              </w:rPr>
              <w:t>Device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3A9" w14:textId="77777777" w:rsidR="0071714C" w:rsidRPr="0071714C" w:rsidRDefault="0071714C" w:rsidP="0071714C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lang w:eastAsia="cs-CZ"/>
              </w:rPr>
            </w:pPr>
            <w:r w:rsidRPr="0071714C">
              <w:rPr>
                <w:rFonts w:ascii="Arial" w:eastAsia="Times New Roman" w:hAnsi="Arial" w:cs="Arial"/>
                <w:lang w:eastAsia="cs-CZ"/>
              </w:rPr>
              <w:t>4</w:t>
            </w:r>
          </w:p>
        </w:tc>
      </w:tr>
    </w:tbl>
    <w:p w14:paraId="126E104C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2373F313" w14:textId="77777777" w:rsidR="0071714C" w:rsidRPr="0071714C" w:rsidRDefault="0071714C" w:rsidP="0071714C">
      <w:pPr>
        <w:spacing w:after="160" w:line="259" w:lineRule="auto"/>
        <w:ind w:firstLine="360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Počet kusů odpovídá podpoře na období 1 rok.</w:t>
      </w:r>
    </w:p>
    <w:p w14:paraId="3240F3F9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00DC69A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22CE0F79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b/>
          <w:sz w:val="22"/>
          <w:szCs w:val="22"/>
          <w:lang w:eastAsia="zh-CN"/>
        </w:rPr>
      </w:pPr>
    </w:p>
    <w:p w14:paraId="56346CB3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Průběžně prováděné a pravidelné měsíční činnosti</w:t>
      </w:r>
    </w:p>
    <w:p w14:paraId="343AE8E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5305CE38" w14:textId="7918C626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Součástí </w:t>
      </w:r>
      <w:r w:rsidR="00586D51">
        <w:rPr>
          <w:rFonts w:ascii="Verdana" w:eastAsia="Times New Roman" w:hAnsi="Verdana" w:cs="Times New Roman"/>
          <w:sz w:val="22"/>
          <w:szCs w:val="22"/>
          <w:lang w:eastAsia="zh-CN"/>
        </w:rPr>
        <w:t>průběžně prováděných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činnost</w:t>
      </w:r>
      <w:r w:rsidR="00586D51">
        <w:rPr>
          <w:rFonts w:ascii="Verdana" w:eastAsia="Times New Roman" w:hAnsi="Verdana" w:cs="Times New Roman"/>
          <w:sz w:val="22"/>
          <w:szCs w:val="22"/>
          <w:lang w:eastAsia="zh-CN"/>
        </w:rPr>
        <w:t>í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požaduje zadavatel pro všechny níže uvedené podpory</w:t>
      </w:r>
    </w:p>
    <w:p w14:paraId="20C50E31" w14:textId="77777777" w:rsidR="0071714C" w:rsidRPr="0071714C" w:rsidRDefault="0071714C" w:rsidP="0071714C">
      <w:pPr>
        <w:numPr>
          <w:ilvl w:val="0"/>
          <w:numId w:val="45"/>
        </w:numPr>
        <w:spacing w:after="200" w:line="276" w:lineRule="auto"/>
        <w:contextualSpacing/>
        <w:rPr>
          <w:rFonts w:ascii="Verdana" w:eastAsia="Times New Roman" w:hAnsi="Verdana" w:cs="Arial"/>
          <w:sz w:val="22"/>
          <w:szCs w:val="22"/>
          <w:lang w:eastAsia="zh-CN"/>
        </w:rPr>
      </w:pPr>
      <w:r w:rsidRPr="0071714C">
        <w:rPr>
          <w:rFonts w:ascii="Verdana" w:eastAsia="Times New Roman" w:hAnsi="Verdana" w:cs="Arial"/>
          <w:sz w:val="22"/>
          <w:szCs w:val="22"/>
          <w:lang w:eastAsia="zh-CN"/>
        </w:rPr>
        <w:t>Provoz kontaktního místa prostřednictvím webové aplikace, emailu nebo telefonní hot-line v českém jazyce zdarma nebo za běžný účastnický tarif</w:t>
      </w:r>
    </w:p>
    <w:p w14:paraId="42BE2B18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14880187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40AF484C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bCs/>
          <w:sz w:val="22"/>
          <w:szCs w:val="22"/>
          <w:lang w:eastAsia="zh-CN"/>
        </w:rPr>
        <w:t xml:space="preserve">Podpora nástroje </w:t>
      </w:r>
      <w:proofErr w:type="spellStart"/>
      <w:r w:rsidRPr="0071714C">
        <w:rPr>
          <w:rFonts w:ascii="Verdana" w:eastAsia="Times New Roman" w:hAnsi="Verdana" w:cs="Times New Roman"/>
          <w:b/>
          <w:bCs/>
          <w:sz w:val="22"/>
          <w:szCs w:val="22"/>
          <w:lang w:eastAsia="zh-CN"/>
        </w:rPr>
        <w:t>eSight</w:t>
      </w:r>
      <w:proofErr w:type="spellEnd"/>
    </w:p>
    <w:p w14:paraId="1F75648D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759F4000" w14:textId="1A1AFA6F" w:rsidR="0071714C" w:rsidRPr="0071714C" w:rsidRDefault="00E001D7" w:rsidP="0071714C">
      <w:pPr>
        <w:numPr>
          <w:ilvl w:val="0"/>
          <w:numId w:val="44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 xml:space="preserve">Průběžná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kontrola dostupnosti služby</w:t>
      </w:r>
    </w:p>
    <w:p w14:paraId="7967247A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04EF4C7E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Calibri" w:eastAsia="Times New Roman" w:hAnsi="Calibri" w:cs="Times New Roman"/>
          <w:b/>
          <w:bCs/>
          <w:sz w:val="22"/>
          <w:szCs w:val="22"/>
          <w:lang w:eastAsia="zh-CN"/>
        </w:rPr>
      </w:pPr>
    </w:p>
    <w:p w14:paraId="6B562E1A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Podpora monitorovacího nástroje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Zabbix</w:t>
      </w:r>
      <w:proofErr w:type="spellEnd"/>
    </w:p>
    <w:p w14:paraId="64337B5A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</w:p>
    <w:p w14:paraId="261018B8" w14:textId="24E4DF15" w:rsidR="0071714C" w:rsidRPr="0071714C" w:rsidRDefault="00E001D7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Průběžná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kontrola dostupnosti služby</w:t>
      </w:r>
    </w:p>
    <w:p w14:paraId="52910955" w14:textId="3BBD02FE" w:rsidR="0071714C" w:rsidRPr="0071714C" w:rsidRDefault="00D5709B" w:rsidP="0071714C">
      <w:pPr>
        <w:numPr>
          <w:ilvl w:val="0"/>
          <w:numId w:val="42"/>
        </w:numPr>
        <w:spacing w:after="160" w:line="259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Průběžná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kontrola logů monitoringu</w:t>
      </w:r>
    </w:p>
    <w:p w14:paraId="211FEE74" w14:textId="77777777" w:rsidR="0071714C" w:rsidRPr="0071714C" w:rsidRDefault="0071714C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Zajištění služeb servisní podpory pro řešení SW vad, včetně identifikace a analýzy v režimu 5x12 (SLA pro servisní model „Incident“)</w:t>
      </w:r>
    </w:p>
    <w:p w14:paraId="610B932F" w14:textId="5D28A1F0" w:rsidR="0071714C" w:rsidRPr="0071714C" w:rsidRDefault="00D5709B" w:rsidP="0071714C">
      <w:pPr>
        <w:numPr>
          <w:ilvl w:val="0"/>
          <w:numId w:val="42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Průběžný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report plnění SLA</w:t>
      </w:r>
    </w:p>
    <w:p w14:paraId="141A5103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50A298E3" w14:textId="77777777" w:rsidR="0071714C" w:rsidRPr="0071714C" w:rsidRDefault="0071714C" w:rsidP="0071714C">
      <w:pPr>
        <w:numPr>
          <w:ilvl w:val="0"/>
          <w:numId w:val="35"/>
        </w:numPr>
        <w:spacing w:after="160" w:line="259" w:lineRule="auto"/>
        <w:ind w:left="643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Podpora pro produkty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Huawei</w:t>
      </w:r>
      <w:proofErr w:type="spellEnd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b/>
          <w:sz w:val="22"/>
          <w:szCs w:val="22"/>
          <w:lang w:eastAsia="zh-CN"/>
        </w:rPr>
        <w:t>technologies</w:t>
      </w:r>
      <w:proofErr w:type="spellEnd"/>
    </w:p>
    <w:p w14:paraId="08D00A2B" w14:textId="77777777" w:rsidR="0071714C" w:rsidRPr="0071714C" w:rsidRDefault="0071714C" w:rsidP="0071714C">
      <w:pPr>
        <w:spacing w:after="0" w:line="259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3022D4F6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Vzdálená správa veškerého Huawei Hardware, který je využíván v prostředí Správy železnic, např. Servery RH2288H v3, SAP servery RH5885H v3, disková pole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Huawei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OceanStor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5300 v3, 5500 v3, 5800 v3, včetně SAN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switchů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Cisco MDS9148</w:t>
      </w:r>
    </w:p>
    <w:p w14:paraId="4350A3D4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Rekonfigurace diskových polí na úrovni Hardware tzn. úprava Skladby diskové kapacity, úprava parametrů Diskových domén a diskových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pools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, úprava mapování disků směrem k serverům nebo úprava konfigurace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Active-Active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storage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clusteru</w:t>
      </w:r>
    </w:p>
    <w:p w14:paraId="07A9DA47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Reaktivní support na výše zmiňované hardware platformy dle stanovených SLA (registrace servisního ticketu a komunikace se servisním střediskem výrobce, koordinace výměny náhradních dílů se zadavatelem a výrobcem)</w:t>
      </w:r>
    </w:p>
    <w:p w14:paraId="1A279C9A" w14:textId="6E1EB3BF" w:rsidR="0071714C" w:rsidRPr="0071714C" w:rsidRDefault="00E001D7" w:rsidP="0071714C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Segoe UI"/>
          <w:color w:val="242424"/>
          <w:sz w:val="21"/>
          <w:szCs w:val="21"/>
          <w:lang w:eastAsia="cs-CZ"/>
        </w:rPr>
      </w:pPr>
      <w:r>
        <w:rPr>
          <w:rFonts w:ascii="Verdana" w:eastAsia="Times New Roman" w:hAnsi="Verdana" w:cs="Segoe UI"/>
          <w:color w:val="242424"/>
          <w:sz w:val="22"/>
          <w:szCs w:val="22"/>
          <w:lang w:eastAsia="cs-CZ"/>
        </w:rPr>
        <w:t>Průběžná p</w:t>
      </w:r>
      <w:r w:rsidR="0071714C" w:rsidRPr="0071714C">
        <w:rPr>
          <w:rFonts w:ascii="Verdana" w:eastAsia="Times New Roman" w:hAnsi="Verdana" w:cs="Segoe UI"/>
          <w:color w:val="242424"/>
          <w:sz w:val="22"/>
          <w:szCs w:val="22"/>
          <w:lang w:eastAsia="cs-CZ"/>
        </w:rPr>
        <w:t>roaktivní kontrola dostupných nových verzí firmware k výše zmiňovaném Hardware a Software, okamžité upozornění zadavatele na takové verze, které obsahují opravu kritické chyby</w:t>
      </w:r>
    </w:p>
    <w:p w14:paraId="7CAF8C5E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Monitoring stavu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maintenance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jednotlivých prvků a doporučení k obnově v dostatečném předstihu</w:t>
      </w:r>
    </w:p>
    <w:p w14:paraId="75A8FCD6" w14:textId="7AD961F4" w:rsidR="0071714C" w:rsidRPr="0071714C" w:rsidRDefault="00D5709B" w:rsidP="0071714C">
      <w:pPr>
        <w:numPr>
          <w:ilvl w:val="0"/>
          <w:numId w:val="36"/>
        </w:numPr>
        <w:spacing w:after="16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>
        <w:rPr>
          <w:rFonts w:ascii="Verdana" w:eastAsia="Times New Roman" w:hAnsi="Verdana" w:cs="Times New Roman"/>
          <w:sz w:val="22"/>
          <w:szCs w:val="22"/>
          <w:lang w:eastAsia="zh-CN"/>
        </w:rPr>
        <w:t>Průběžný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  <w:r w:rsidR="0071714C"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report plnění SLA, provedených činnostech a řešených incidentech</w:t>
      </w:r>
    </w:p>
    <w:p w14:paraId="6EF8A655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Pravidelné půlroční činnosti</w:t>
      </w:r>
    </w:p>
    <w:p w14:paraId="5412102D" w14:textId="77777777" w:rsidR="0071714C" w:rsidRPr="0071714C" w:rsidRDefault="0071714C" w:rsidP="0071714C">
      <w:pPr>
        <w:spacing w:after="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54036D95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Revize a případný update firmware výše zmiňovaného Hardware a Software</w:t>
      </w:r>
    </w:p>
    <w:p w14:paraId="228FC1CD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Revize a případný update vzdáleného managementu serverů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iBMC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</w:t>
      </w:r>
    </w:p>
    <w:p w14:paraId="000A92B1" w14:textId="77777777" w:rsidR="0071714C" w:rsidRPr="0071714C" w:rsidRDefault="0071714C" w:rsidP="0071714C">
      <w:pPr>
        <w:numPr>
          <w:ilvl w:val="0"/>
          <w:numId w:val="36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Revize a případný update </w:t>
      </w:r>
      <w:proofErr w:type="spell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mutlipathing</w:t>
      </w:r>
      <w:proofErr w:type="spell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SW</w:t>
      </w:r>
    </w:p>
    <w:p w14:paraId="30AA5323" w14:textId="77777777" w:rsidR="0071714C" w:rsidRPr="0071714C" w:rsidRDefault="0071714C" w:rsidP="0071714C">
      <w:pPr>
        <w:spacing w:after="0" w:line="259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11444075" w14:textId="77777777" w:rsidR="0071714C" w:rsidRPr="0071714C" w:rsidRDefault="0071714C" w:rsidP="0071714C">
      <w:pPr>
        <w:spacing w:after="0" w:line="259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Veškeré updaty, </w:t>
      </w:r>
      <w:proofErr w:type="gramStart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rekonfigurace,</w:t>
      </w:r>
      <w:proofErr w:type="gramEnd"/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 xml:space="preserve"> apod. budou prováděny pouze se souhlasem zadavatele</w:t>
      </w:r>
    </w:p>
    <w:p w14:paraId="02698859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25A06885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Pravidelné roční činnosti</w:t>
      </w:r>
    </w:p>
    <w:p w14:paraId="15D673EA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5F2987F6" w14:textId="77777777" w:rsidR="0071714C" w:rsidRPr="0071714C" w:rsidRDefault="0071714C" w:rsidP="0071714C">
      <w:pPr>
        <w:numPr>
          <w:ilvl w:val="0"/>
          <w:numId w:val="37"/>
        </w:numPr>
        <w:spacing w:after="0" w:line="259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Profylaxe spravovaného HW, vždy k výročí platnosti smlouvy (přesný termín profylaxe dle dohody s odběratelem služby)</w:t>
      </w:r>
    </w:p>
    <w:p w14:paraId="5751CBCC" w14:textId="77777777" w:rsidR="0071714C" w:rsidRPr="0071714C" w:rsidRDefault="0071714C" w:rsidP="0071714C">
      <w:pPr>
        <w:spacing w:after="160" w:line="259" w:lineRule="auto"/>
        <w:ind w:left="720"/>
        <w:contextualSpacing/>
        <w:rPr>
          <w:rFonts w:ascii="Verdana" w:eastAsia="Times New Roman" w:hAnsi="Verdana" w:cs="Times New Roman"/>
          <w:b/>
          <w:sz w:val="22"/>
          <w:szCs w:val="22"/>
          <w:lang w:eastAsia="zh-CN"/>
        </w:rPr>
      </w:pPr>
    </w:p>
    <w:p w14:paraId="78042C5E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Individuálně objednávané činnosti</w:t>
      </w:r>
    </w:p>
    <w:p w14:paraId="53271B7E" w14:textId="77777777" w:rsidR="0071714C" w:rsidRPr="0071714C" w:rsidRDefault="0071714C" w:rsidP="0071714C">
      <w:pPr>
        <w:spacing w:after="0" w:line="240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1E5688AB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Základní nastavení a konfigurace spravovaného SW</w:t>
      </w:r>
    </w:p>
    <w:p w14:paraId="78C5BE11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Instalace nových a aktualizace stávajících šablon</w:t>
      </w:r>
    </w:p>
    <w:p w14:paraId="551989FC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Tvorba vlastních šablon na míru</w:t>
      </w:r>
    </w:p>
    <w:p w14:paraId="4FCF7378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Aktualizace a instalace nových verzí vlastní aplikace</w:t>
      </w:r>
    </w:p>
    <w:p w14:paraId="648DA426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Spolupráce se zadavatelem při připojování nových systémů do dohledového systému</w:t>
      </w:r>
    </w:p>
    <w:p w14:paraId="28DF32AD" w14:textId="77777777" w:rsidR="0071714C" w:rsidRPr="0071714C" w:rsidRDefault="0071714C" w:rsidP="0071714C">
      <w:pPr>
        <w:spacing w:after="0" w:line="240" w:lineRule="auto"/>
        <w:ind w:left="1068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15A7EDC4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Nastavení a rekonfigurace spravovaného HW dle požadavků zadavatele</w:t>
      </w:r>
    </w:p>
    <w:p w14:paraId="665946A7" w14:textId="77777777" w:rsidR="0071714C" w:rsidRPr="0071714C" w:rsidRDefault="0071714C" w:rsidP="0071714C">
      <w:pPr>
        <w:spacing w:after="0" w:line="240" w:lineRule="auto"/>
        <w:ind w:left="1068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9F85554" w14:textId="77777777" w:rsidR="0071714C" w:rsidRPr="0071714C" w:rsidRDefault="0071714C" w:rsidP="0071714C">
      <w:pPr>
        <w:numPr>
          <w:ilvl w:val="0"/>
          <w:numId w:val="38"/>
        </w:numPr>
        <w:spacing w:after="0" w:line="240" w:lineRule="auto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Ostatní činnosti rozvoj systémů, konzultace</w:t>
      </w:r>
    </w:p>
    <w:p w14:paraId="16EE3722" w14:textId="77777777" w:rsidR="0071714C" w:rsidRPr="0071714C" w:rsidRDefault="0071714C" w:rsidP="0071714C">
      <w:pPr>
        <w:spacing w:after="0" w:line="240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p w14:paraId="4BC5CEFE" w14:textId="77777777" w:rsidR="0071714C" w:rsidRPr="0071714C" w:rsidRDefault="0071714C" w:rsidP="0071714C">
      <w:pPr>
        <w:spacing w:after="0" w:line="240" w:lineRule="auto"/>
        <w:ind w:left="708"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7EA2D696" w14:textId="77777777" w:rsidR="0071714C" w:rsidRPr="0071714C" w:rsidRDefault="0071714C" w:rsidP="0071714C">
      <w:pPr>
        <w:spacing w:after="0" w:line="240" w:lineRule="auto"/>
        <w:ind w:left="708"/>
        <w:rPr>
          <w:rFonts w:ascii="Calibri" w:eastAsia="Times New Roman" w:hAnsi="Calibri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Všechny požadavky jsou řešeny v režimu 5x8 (SLA pro servisní model „Požadavek“). Reportování požadavků bude prováděno v rámci pravidelných měsíčních reportů v odstavci A.</w:t>
      </w:r>
    </w:p>
    <w:p w14:paraId="480F4369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C99E3FF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06CC60BE" w14:textId="77777777" w:rsidR="0071714C" w:rsidRPr="0071714C" w:rsidRDefault="0071714C" w:rsidP="0071714C">
      <w:pPr>
        <w:spacing w:after="0" w:line="240" w:lineRule="auto"/>
        <w:ind w:left="720"/>
        <w:contextualSpacing/>
        <w:rPr>
          <w:rFonts w:ascii="Verdana" w:eastAsia="Times New Roman" w:hAnsi="Verdana" w:cs="Times New Roman"/>
          <w:sz w:val="22"/>
          <w:szCs w:val="22"/>
          <w:lang w:eastAsia="zh-CN"/>
        </w:rPr>
      </w:pPr>
    </w:p>
    <w:p w14:paraId="69A807DA" w14:textId="77777777" w:rsidR="0071714C" w:rsidRPr="0071714C" w:rsidRDefault="0071714C" w:rsidP="0071714C">
      <w:pPr>
        <w:keepNext/>
        <w:keepLines/>
        <w:numPr>
          <w:ilvl w:val="0"/>
          <w:numId w:val="43"/>
        </w:numPr>
        <w:spacing w:before="480" w:after="0" w:line="259" w:lineRule="auto"/>
        <w:outlineLvl w:val="0"/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</w:pPr>
      <w:r w:rsidRPr="0071714C">
        <w:rPr>
          <w:rFonts w:ascii="Calibri" w:eastAsia="Times New Roman" w:hAnsi="Calibri" w:cs="Times New Roman"/>
          <w:b/>
          <w:bCs/>
          <w:color w:val="365F91"/>
          <w:sz w:val="28"/>
          <w:szCs w:val="28"/>
          <w:lang w:eastAsia="zh-CN"/>
        </w:rPr>
        <w:t>Požadované parametry SLA</w:t>
      </w:r>
    </w:p>
    <w:p w14:paraId="6E422430" w14:textId="77777777" w:rsidR="0071714C" w:rsidRPr="0071714C" w:rsidRDefault="0071714C" w:rsidP="0071714C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zh-CN"/>
        </w:rPr>
      </w:pPr>
    </w:p>
    <w:tbl>
      <w:tblPr>
        <w:tblW w:w="10600" w:type="dxa"/>
        <w:tblInd w:w="-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235"/>
        <w:gridCol w:w="529"/>
        <w:gridCol w:w="389"/>
        <w:gridCol w:w="1115"/>
        <w:gridCol w:w="957"/>
        <w:gridCol w:w="957"/>
        <w:gridCol w:w="495"/>
        <w:gridCol w:w="505"/>
        <w:gridCol w:w="1168"/>
        <w:gridCol w:w="1105"/>
        <w:gridCol w:w="1105"/>
      </w:tblGrid>
      <w:tr w:rsidR="0071714C" w:rsidRPr="0071714C" w14:paraId="3BEC228C" w14:textId="77777777" w:rsidTr="001A0059">
        <w:trPr>
          <w:trHeight w:val="1110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733826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Servisní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model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3E0D9B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Dostupnost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9CBA44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provozu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A29D10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zpracování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8707144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priority A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9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CB5FA51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incidentu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priority B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4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50F39A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RTO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9E56A6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RPO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6F1A4F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zpracování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A513A37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kategorie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A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333102" w14:textId="77777777" w:rsidR="0071714C" w:rsidRPr="0071714C" w:rsidRDefault="0071714C" w:rsidP="0071714C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Doba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řešení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požadavku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</w:t>
            </w:r>
            <w:proofErr w:type="spellStart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>kategorie</w:t>
            </w:r>
            <w:proofErr w:type="spellEnd"/>
            <w:r w:rsidRPr="0071714C">
              <w:rPr>
                <w:rFonts w:ascii="Verdana" w:eastAsia="Times New Roman" w:hAnsi="Verdana" w:cs="Segoe UI"/>
                <w:b/>
                <w:bCs/>
                <w:color w:val="000000"/>
                <w:lang w:val="en-US" w:eastAsia="cs-CZ"/>
              </w:rPr>
              <w:t xml:space="preserve"> B</w:t>
            </w: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</w:tr>
      <w:tr w:rsidR="0071714C" w:rsidRPr="0071714C" w14:paraId="2B1719FD" w14:textId="77777777" w:rsidTr="001A0059">
        <w:trPr>
          <w:trHeight w:val="270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F6226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Incident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92EFE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99.5%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0A887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5x12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235B96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 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7D4F1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 hod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D50687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6 hod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C49D21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12 hod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CCFD83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4 hod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026749C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&lt; 5 min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5485B4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B99F5C6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768D4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</w:tr>
      <w:tr w:rsidR="0071714C" w:rsidRPr="0071714C" w14:paraId="41393DE1" w14:textId="77777777" w:rsidTr="001A0059">
        <w:trPr>
          <w:trHeight w:val="270"/>
        </w:trPr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4CCB0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proofErr w:type="spellStart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Požadavek</w:t>
            </w:r>
            <w:proofErr w:type="spellEnd"/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160718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99.5%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11AC9A2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5x8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BB6223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(8-16)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4C8EEC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13CAE0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5AD6BA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N/A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EC983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 </w:t>
            </w: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98D03F" w14:textId="77777777" w:rsidR="0071714C" w:rsidRPr="0071714C" w:rsidRDefault="0071714C" w:rsidP="0071714C">
            <w:pPr>
              <w:spacing w:after="160" w:line="259" w:lineRule="auto"/>
              <w:rPr>
                <w:rFonts w:ascii="Verdana" w:eastAsia="Times New Roman" w:hAnsi="Verdana" w:cs="Segoe UI"/>
                <w:lang w:val="en-US" w:eastAsia="cs-CZ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279DF5F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1 PD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7B1B39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2 PD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D04023" w14:textId="77777777" w:rsidR="0071714C" w:rsidRPr="0071714C" w:rsidRDefault="0071714C" w:rsidP="0071714C">
            <w:pPr>
              <w:spacing w:after="0" w:line="240" w:lineRule="auto"/>
              <w:jc w:val="center"/>
              <w:textAlignment w:val="baseline"/>
              <w:rPr>
                <w:rFonts w:ascii="Verdana" w:eastAsia="Times New Roman" w:hAnsi="Verdana" w:cs="Segoe UI"/>
                <w:lang w:val="en-US" w:eastAsia="cs-CZ"/>
              </w:rPr>
            </w:pPr>
            <w:r w:rsidRPr="0071714C">
              <w:rPr>
                <w:rFonts w:ascii="Verdana" w:eastAsia="Times New Roman" w:hAnsi="Verdana" w:cs="Segoe UI"/>
                <w:color w:val="000000"/>
                <w:lang w:val="en-US" w:eastAsia="cs-CZ"/>
              </w:rPr>
              <w:t>5 PD </w:t>
            </w:r>
          </w:p>
        </w:tc>
      </w:tr>
    </w:tbl>
    <w:p w14:paraId="4C07BF4C" w14:textId="77777777" w:rsidR="0071714C" w:rsidRPr="0071714C" w:rsidRDefault="0071714C" w:rsidP="0071714C">
      <w:pPr>
        <w:spacing w:after="160" w:line="259" w:lineRule="auto"/>
        <w:rPr>
          <w:rFonts w:ascii="Verdana" w:eastAsia="Calibri" w:hAnsi="Verdana" w:cs="Times New Roman"/>
          <w:sz w:val="20"/>
          <w:szCs w:val="20"/>
          <w:lang w:val="en-US" w:eastAsia="cs-CZ"/>
        </w:rPr>
      </w:pPr>
    </w:p>
    <w:p w14:paraId="6042A94A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val="en-US" w:eastAsia="cs-CZ"/>
        </w:rPr>
      </w:pPr>
      <w:r w:rsidRPr="0071714C">
        <w:rPr>
          <w:rFonts w:ascii="Verdana" w:eastAsia="Times New Roman" w:hAnsi="Verdana" w:cs="Times New Roman"/>
          <w:sz w:val="22"/>
          <w:szCs w:val="22"/>
          <w:lang w:val="en-US" w:eastAsia="cs-CZ"/>
        </w:rPr>
        <w:t>Legenda:</w:t>
      </w:r>
    </w:p>
    <w:p w14:paraId="78655E30" w14:textId="77777777" w:rsidR="0071714C" w:rsidRPr="0071714C" w:rsidRDefault="0071714C" w:rsidP="0071714C">
      <w:pPr>
        <w:spacing w:before="180" w:after="120" w:line="259" w:lineRule="auto"/>
        <w:ind w:left="850"/>
        <w:jc w:val="both"/>
        <w:rPr>
          <w:rFonts w:ascii="Verdana" w:eastAsia="Times New Roman" w:hAnsi="Verdana" w:cs="Times New Roman"/>
          <w:b/>
          <w:bCs/>
          <w:kern w:val="20"/>
          <w:sz w:val="22"/>
          <w:szCs w:val="22"/>
          <w:lang w:val="en-US"/>
        </w:rPr>
      </w:pP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Zadavatel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rozlišuje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tyto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kategorie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incidentů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:</w:t>
      </w:r>
    </w:p>
    <w:p w14:paraId="63DB3D43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A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Celý systém nebo jeho hlavní části nejsou funkční. Je bezprostředně ohrožen provoz a fungování zadavatele.</w:t>
      </w:r>
    </w:p>
    <w:p w14:paraId="6CCA2DD8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B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Některé z hlavních částí prostředí či funkčností systému nejsou funkční, nebo výkon prostředí omezuje fungování zadavatele.</w:t>
      </w:r>
    </w:p>
    <w:p w14:paraId="234DB700" w14:textId="77777777" w:rsidR="0071714C" w:rsidRPr="0071714C" w:rsidRDefault="0071714C" w:rsidP="0071714C">
      <w:pPr>
        <w:spacing w:before="180" w:after="120" w:line="259" w:lineRule="auto"/>
        <w:ind w:left="850"/>
        <w:jc w:val="both"/>
        <w:rPr>
          <w:rFonts w:ascii="Verdana" w:eastAsia="Times New Roman" w:hAnsi="Verdana" w:cs="Times New Roman"/>
          <w:b/>
          <w:bCs/>
          <w:kern w:val="20"/>
          <w:sz w:val="22"/>
          <w:szCs w:val="22"/>
          <w:lang w:val="en-US" w:eastAsia="zh-CN"/>
        </w:rPr>
      </w:pP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Zadavatel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rozlišuje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tyto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kategorie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 xml:space="preserve"> </w:t>
      </w:r>
      <w:proofErr w:type="spellStart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požadavků</w:t>
      </w:r>
      <w:proofErr w:type="spellEnd"/>
      <w:r w:rsidRPr="0071714C">
        <w:rPr>
          <w:rFonts w:ascii="Verdana" w:eastAsia="Times New Roman" w:hAnsi="Verdana" w:cs="Times New Roman"/>
          <w:kern w:val="20"/>
          <w:sz w:val="22"/>
          <w:szCs w:val="22"/>
          <w:lang w:val="en-US" w:eastAsia="zh-CN"/>
        </w:rPr>
        <w:t>:</w:t>
      </w:r>
    </w:p>
    <w:p w14:paraId="77723478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2"/>
          <w:szCs w:val="22"/>
        </w:rPr>
        <w:t>Priorita A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2"/>
          <w:szCs w:val="22"/>
        </w:rPr>
        <w:t xml:space="preserve"> – Prioritní úprava prostředí, která ze své povahy nesnese odkladu. Např.: Nasazení kritické bezpečnostní opravy systému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0"/>
          <w:szCs w:val="20"/>
        </w:rPr>
        <w:t>.</w:t>
      </w:r>
    </w:p>
    <w:p w14:paraId="7353C5A5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  <w:t>Priorita B</w:t>
      </w:r>
      <w:r w:rsidRPr="0071714C">
        <w:rPr>
          <w:rFonts w:ascii="Verdana" w:eastAsia="Times New Roman" w:hAnsi="Verdana" w:cs="Arial"/>
          <w:color w:val="000000"/>
          <w:spacing w:val="10"/>
          <w:kern w:val="20"/>
          <w:sz w:val="20"/>
          <w:szCs w:val="20"/>
        </w:rPr>
        <w:t xml:space="preserve"> – 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Běžný požadavek na servisní zásah.</w:t>
      </w:r>
    </w:p>
    <w:p w14:paraId="6FD23410" w14:textId="77777777" w:rsidR="0071714C" w:rsidRPr="0071714C" w:rsidRDefault="0071714C" w:rsidP="0071714C">
      <w:pPr>
        <w:numPr>
          <w:ilvl w:val="6"/>
          <w:numId w:val="40"/>
        </w:numPr>
        <w:spacing w:before="120" w:after="120" w:line="260" w:lineRule="atLeast"/>
        <w:jc w:val="both"/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</w:pPr>
      <w:r w:rsidRPr="0071714C">
        <w:rPr>
          <w:rFonts w:ascii="Verdana" w:eastAsia="Times New Roman" w:hAnsi="Verdana" w:cs="Arial"/>
          <w:b/>
          <w:color w:val="000000"/>
          <w:spacing w:val="10"/>
          <w:kern w:val="20"/>
          <w:sz w:val="20"/>
          <w:szCs w:val="20"/>
        </w:rPr>
        <w:t xml:space="preserve">Změnový požadavek </w:t>
      </w:r>
      <w:r w:rsidRPr="0071714C">
        <w:rPr>
          <w:rFonts w:ascii="Verdana" w:eastAsia="Times New Roman" w:hAnsi="Verdana" w:cs="Arial"/>
          <w:bCs/>
          <w:color w:val="000000"/>
          <w:spacing w:val="10"/>
          <w:kern w:val="20"/>
          <w:sz w:val="20"/>
          <w:szCs w:val="20"/>
        </w:rPr>
        <w:t xml:space="preserve">– </w:t>
      </w: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Bez stanovené doby řešení. Změna je vždy vyhodnocena a naplánována individuálně.</w:t>
      </w:r>
    </w:p>
    <w:p w14:paraId="6E244405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0"/>
          <w:szCs w:val="20"/>
          <w:lang w:val="en-US" w:eastAsia="cs-CZ"/>
        </w:rPr>
      </w:pPr>
    </w:p>
    <w:p w14:paraId="0052578D" w14:textId="77777777" w:rsidR="0071714C" w:rsidRPr="0071714C" w:rsidRDefault="0071714C" w:rsidP="0071714C">
      <w:pPr>
        <w:spacing w:after="160" w:line="259" w:lineRule="auto"/>
        <w:rPr>
          <w:rFonts w:ascii="Verdana" w:eastAsia="Times New Roman" w:hAnsi="Verdana" w:cs="Times New Roman"/>
          <w:sz w:val="22"/>
          <w:szCs w:val="22"/>
          <w:lang w:eastAsia="zh-CN"/>
        </w:rPr>
      </w:pPr>
      <w:r w:rsidRPr="0071714C">
        <w:rPr>
          <w:rFonts w:ascii="Verdana" w:eastAsia="Times New Roman" w:hAnsi="Verdana" w:cs="Times New Roman"/>
          <w:sz w:val="22"/>
          <w:szCs w:val="22"/>
          <w:lang w:eastAsia="zh-CN"/>
        </w:rPr>
        <w:t>*Výše uvedené SLA nemusí pokrývat řešení SW vad produktu, u kterých je vyžadována softwarová úprava ze strany výrobce. V takových případech bude oprava provedena ihned po poskytnutí opravené verze SW výrobcem.</w:t>
      </w:r>
    </w:p>
    <w:p w14:paraId="1B6FB25A" w14:textId="77777777" w:rsidR="00A26D1D" w:rsidRPr="00F0533E" w:rsidRDefault="00A26D1D" w:rsidP="00A26D1D"/>
    <w:sectPr w:rsidR="00A26D1D" w:rsidRPr="00F0533E" w:rsidSect="00A26D1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707" w:bottom="1474" w:left="993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B7BBD" w14:textId="77777777" w:rsidR="008776AE" w:rsidRDefault="008776AE" w:rsidP="00962258">
      <w:pPr>
        <w:spacing w:after="0" w:line="240" w:lineRule="auto"/>
      </w:pPr>
      <w:r>
        <w:separator/>
      </w:r>
    </w:p>
  </w:endnote>
  <w:endnote w:type="continuationSeparator" w:id="0">
    <w:p w14:paraId="29CE5C41" w14:textId="77777777" w:rsidR="008776AE" w:rsidRDefault="008776A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71810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7993B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7D59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EE6C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D5858E" w14:textId="77777777" w:rsidR="00F1715C" w:rsidRDefault="00F1715C" w:rsidP="00D831A3">
          <w:pPr>
            <w:pStyle w:val="Zpat"/>
          </w:pPr>
        </w:p>
      </w:tc>
    </w:tr>
  </w:tbl>
  <w:p w14:paraId="2770180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BED9E07" wp14:editId="45D460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C0404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857A9C" wp14:editId="3EBDBA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0201FD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D3315A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FC632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749F6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1493F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7CC77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FBFEB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966681A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8B46FD5" w14:textId="77777777" w:rsidR="00F1715C" w:rsidRDefault="00F1715C" w:rsidP="00460660">
          <w:pPr>
            <w:pStyle w:val="Zpat"/>
          </w:pPr>
        </w:p>
      </w:tc>
    </w:tr>
  </w:tbl>
  <w:p w14:paraId="2BD3326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0EF188C" wp14:editId="1F8D977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BB9FAD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5F96E27" wp14:editId="1D039C8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648410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41D88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AD9F3D" w14:textId="77777777" w:rsidR="008776AE" w:rsidRDefault="008776AE" w:rsidP="00962258">
      <w:pPr>
        <w:spacing w:after="0" w:line="240" w:lineRule="auto"/>
      </w:pPr>
      <w:r>
        <w:separator/>
      </w:r>
    </w:p>
  </w:footnote>
  <w:footnote w:type="continuationSeparator" w:id="0">
    <w:p w14:paraId="182DF1C7" w14:textId="77777777" w:rsidR="008776AE" w:rsidRDefault="008776A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8D8827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83A5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7DB93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374ED8" w14:textId="77777777" w:rsidR="00F1715C" w:rsidRPr="00D6163D" w:rsidRDefault="00F1715C" w:rsidP="00D6163D">
          <w:pPr>
            <w:pStyle w:val="Druhdokumentu"/>
          </w:pPr>
        </w:p>
      </w:tc>
    </w:tr>
  </w:tbl>
  <w:p w14:paraId="251212C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4F23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C1B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A0A1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65E6AB" w14:textId="77777777" w:rsidR="00F1715C" w:rsidRPr="00D6163D" w:rsidRDefault="00F1715C" w:rsidP="00FC6389">
          <w:pPr>
            <w:pStyle w:val="Druhdokumentu"/>
          </w:pPr>
        </w:p>
      </w:tc>
    </w:tr>
    <w:tr w:rsidR="009F392E" w14:paraId="549D7CB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7FEEB5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97BD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D4FAC9A" w14:textId="77777777" w:rsidR="009F392E" w:rsidRPr="00D6163D" w:rsidRDefault="009F392E" w:rsidP="00FC6389">
          <w:pPr>
            <w:pStyle w:val="Druhdokumentu"/>
          </w:pPr>
        </w:p>
      </w:tc>
    </w:tr>
  </w:tbl>
  <w:p w14:paraId="38C754F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FA93FEF" wp14:editId="6B066F7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6" name="Obrázek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13A70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B835F4"/>
    <w:multiLevelType w:val="hybridMultilevel"/>
    <w:tmpl w:val="B7E20C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8065C5"/>
    <w:multiLevelType w:val="hybridMultilevel"/>
    <w:tmpl w:val="811694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3E"/>
    <w:multiLevelType w:val="multilevel"/>
    <w:tmpl w:val="15E8D4EA"/>
    <w:styleLink w:val="NTTBulletList"/>
    <w:lvl w:ilvl="0">
      <w:start w:val="1"/>
      <w:numFmt w:val="bullet"/>
      <w:pStyle w:val="NTTBullet1"/>
      <w:lvlText w:val="●"/>
      <w:lvlJc w:val="left"/>
      <w:pPr>
        <w:tabs>
          <w:tab w:val="num" w:pos="1134"/>
        </w:tabs>
        <w:ind w:left="1134" w:hanging="283"/>
      </w:pPr>
      <w:rPr>
        <w:rFonts w:ascii="Arial" w:hAnsi="Arial" w:cs="Times New Roman" w:hint="default"/>
        <w:b w:val="0"/>
        <w:i w:val="0"/>
        <w:color w:val="000000"/>
        <w:spacing w:val="8"/>
        <w:kern w:val="20"/>
        <w:sz w:val="20"/>
      </w:rPr>
    </w:lvl>
    <w:lvl w:ilvl="1">
      <w:start w:val="1"/>
      <w:numFmt w:val="bullet"/>
      <w:pStyle w:val="NTTBullet2"/>
      <w:lvlText w:val="○"/>
      <w:lvlJc w:val="left"/>
      <w:pPr>
        <w:tabs>
          <w:tab w:val="num" w:pos="1418"/>
        </w:tabs>
        <w:ind w:left="1418" w:hanging="284"/>
      </w:pPr>
      <w:rPr>
        <w:rFonts w:ascii="Times New Roman" w:hAnsi="Times New Roman" w:cs="Times New Roman" w:hint="default"/>
        <w:b w:val="0"/>
        <w:i w:val="0"/>
        <w:color w:val="000000"/>
        <w:sz w:val="20"/>
      </w:rPr>
    </w:lvl>
    <w:lvl w:ilvl="2">
      <w:start w:val="1"/>
      <w:numFmt w:val="bullet"/>
      <w:pStyle w:val="NTTBullet3"/>
      <w:lvlText w:val="-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  <w:b/>
        <w:i w:val="0"/>
        <w:color w:val="000000"/>
        <w:sz w:val="20"/>
      </w:rPr>
    </w:lvl>
    <w:lvl w:ilvl="3">
      <w:start w:val="1"/>
      <w:numFmt w:val="decimal"/>
      <w:pStyle w:val="NTTBullet4"/>
      <w:lvlText w:val="%4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4">
      <w:start w:val="1"/>
      <w:numFmt w:val="decimal"/>
      <w:pStyle w:val="NTTBullet5"/>
      <w:lvlText w:val="%4.%5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5">
      <w:start w:val="1"/>
      <w:numFmt w:val="decimal"/>
      <w:pStyle w:val="NTTBullet6"/>
      <w:lvlText w:val="%4.%5.%6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pacing w:val="0"/>
        <w:sz w:val="20"/>
        <w:szCs w:val="20"/>
      </w:rPr>
    </w:lvl>
    <w:lvl w:ilvl="6">
      <w:start w:val="1"/>
      <w:numFmt w:val="decimal"/>
      <w:pStyle w:val="NTTBullet7"/>
      <w:lvlText w:val="%7."/>
      <w:lvlJc w:val="left"/>
      <w:pPr>
        <w:tabs>
          <w:tab w:val="num" w:pos="1418"/>
        </w:tabs>
        <w:ind w:left="1418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7">
      <w:start w:val="1"/>
      <w:numFmt w:val="lowerLetter"/>
      <w:pStyle w:val="NTTBullet8"/>
      <w:lvlText w:val="%8."/>
      <w:lvlJc w:val="left"/>
      <w:pPr>
        <w:tabs>
          <w:tab w:val="num" w:pos="1985"/>
        </w:tabs>
        <w:ind w:left="1985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  <w:lvl w:ilvl="8">
      <w:start w:val="1"/>
      <w:numFmt w:val="lowerRoman"/>
      <w:pStyle w:val="NTTBullet9"/>
      <w:lvlText w:val="%9."/>
      <w:lvlJc w:val="left"/>
      <w:pPr>
        <w:tabs>
          <w:tab w:val="num" w:pos="2552"/>
        </w:tabs>
        <w:ind w:left="2552" w:hanging="567"/>
      </w:pPr>
      <w:rPr>
        <w:rFonts w:ascii="Arial" w:hAnsi="Arial" w:cs="Times New Roman" w:hint="default"/>
        <w:b w:val="0"/>
        <w:i w:val="0"/>
        <w:color w:val="000000"/>
        <w:sz w:val="20"/>
        <w:szCs w:val="20"/>
      </w:rPr>
    </w:lvl>
  </w:abstractNum>
  <w:abstractNum w:abstractNumId="8" w15:restartNumberingAfterBreak="0">
    <w:nsid w:val="32C31CED"/>
    <w:multiLevelType w:val="hybridMultilevel"/>
    <w:tmpl w:val="B0F67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9B87B39"/>
    <w:multiLevelType w:val="hybridMultilevel"/>
    <w:tmpl w:val="084E162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A940784"/>
    <w:multiLevelType w:val="hybridMultilevel"/>
    <w:tmpl w:val="0192AA1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E795E0F"/>
    <w:multiLevelType w:val="hybridMultilevel"/>
    <w:tmpl w:val="940E6CAC"/>
    <w:lvl w:ilvl="0" w:tplc="758E507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F5EF9"/>
    <w:multiLevelType w:val="hybridMultilevel"/>
    <w:tmpl w:val="6D88689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B461BF3"/>
    <w:multiLevelType w:val="hybridMultilevel"/>
    <w:tmpl w:val="6BAAD9A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F1B7292"/>
    <w:multiLevelType w:val="hybridMultilevel"/>
    <w:tmpl w:val="16924E0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5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7"/>
  </w:num>
  <w:num w:numId="17">
    <w:abstractNumId w:val="2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7"/>
  </w:num>
  <w:num w:numId="29">
    <w:abstractNumId w:val="2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13"/>
  </w:num>
  <w:num w:numId="36">
    <w:abstractNumId w:val="18"/>
  </w:num>
  <w:num w:numId="37">
    <w:abstractNumId w:val="12"/>
  </w:num>
  <w:num w:numId="38">
    <w:abstractNumId w:val="14"/>
  </w:num>
  <w:num w:numId="39">
    <w:abstractNumId w:val="7"/>
  </w:num>
  <w:num w:numId="40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6"/>
  </w:num>
  <w:num w:numId="44">
    <w:abstractNumId w:val="16"/>
  </w:num>
  <w:num w:numId="4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D1D"/>
    <w:rsid w:val="00066E78"/>
    <w:rsid w:val="00072C1E"/>
    <w:rsid w:val="000E23A7"/>
    <w:rsid w:val="0010693F"/>
    <w:rsid w:val="00114472"/>
    <w:rsid w:val="00127FCD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E715F"/>
    <w:rsid w:val="00341DCF"/>
    <w:rsid w:val="00357BC6"/>
    <w:rsid w:val="00365676"/>
    <w:rsid w:val="003956C6"/>
    <w:rsid w:val="003C4672"/>
    <w:rsid w:val="00441430"/>
    <w:rsid w:val="00450F07"/>
    <w:rsid w:val="00453015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06D08"/>
    <w:rsid w:val="00511AB9"/>
    <w:rsid w:val="00523EA7"/>
    <w:rsid w:val="00553375"/>
    <w:rsid w:val="00557C28"/>
    <w:rsid w:val="005736B7"/>
    <w:rsid w:val="00575E5A"/>
    <w:rsid w:val="00586D51"/>
    <w:rsid w:val="005F1404"/>
    <w:rsid w:val="006026E6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CF0"/>
    <w:rsid w:val="00710723"/>
    <w:rsid w:val="0071714C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6AE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6D1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709B"/>
    <w:rsid w:val="00D6163D"/>
    <w:rsid w:val="00D73D46"/>
    <w:rsid w:val="00D831A3"/>
    <w:rsid w:val="00DB1557"/>
    <w:rsid w:val="00DC75F3"/>
    <w:rsid w:val="00DD46F3"/>
    <w:rsid w:val="00DE56F2"/>
    <w:rsid w:val="00DF116D"/>
    <w:rsid w:val="00E001D7"/>
    <w:rsid w:val="00E36C4A"/>
    <w:rsid w:val="00E668D0"/>
    <w:rsid w:val="00EB104F"/>
    <w:rsid w:val="00ED14BD"/>
    <w:rsid w:val="00ED223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5A72C"/>
  <w14:defaultImageDpi w14:val="32767"/>
  <w15:docId w15:val="{7B612F83-F159-4BAE-AE0F-85CF30D8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TTBullet1">
    <w:name w:val="NTT Bullet 1"/>
    <w:basedOn w:val="Normln"/>
    <w:uiPriority w:val="9"/>
    <w:qFormat/>
    <w:rsid w:val="00A26D1D"/>
    <w:pPr>
      <w:numPr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2">
    <w:name w:val="NTT Bullet 2"/>
    <w:basedOn w:val="NTTBullet1"/>
    <w:uiPriority w:val="9"/>
    <w:qFormat/>
    <w:rsid w:val="00A26D1D"/>
    <w:pPr>
      <w:numPr>
        <w:ilvl w:val="1"/>
      </w:numPr>
      <w:spacing w:before="60" w:after="60"/>
    </w:pPr>
  </w:style>
  <w:style w:type="paragraph" w:customStyle="1" w:styleId="NTTBullet3">
    <w:name w:val="NTT Bullet 3"/>
    <w:basedOn w:val="NTTBullet2"/>
    <w:uiPriority w:val="9"/>
    <w:qFormat/>
    <w:rsid w:val="00A26D1D"/>
    <w:pPr>
      <w:numPr>
        <w:ilvl w:val="2"/>
      </w:numPr>
      <w:spacing w:before="0" w:after="0"/>
    </w:pPr>
  </w:style>
  <w:style w:type="paragraph" w:customStyle="1" w:styleId="NTTBullet4">
    <w:name w:val="NTT Bullet 4"/>
    <w:basedOn w:val="Normln"/>
    <w:uiPriority w:val="9"/>
    <w:rsid w:val="00A26D1D"/>
    <w:pPr>
      <w:numPr>
        <w:ilvl w:val="3"/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5">
    <w:name w:val="NTT Bullet 5"/>
    <w:basedOn w:val="NTTBullet4"/>
    <w:uiPriority w:val="9"/>
    <w:rsid w:val="00A26D1D"/>
    <w:pPr>
      <w:numPr>
        <w:ilvl w:val="4"/>
      </w:numPr>
    </w:pPr>
  </w:style>
  <w:style w:type="paragraph" w:customStyle="1" w:styleId="NTTBullet6">
    <w:name w:val="NTT Bullet 6"/>
    <w:basedOn w:val="NTTBullet5"/>
    <w:uiPriority w:val="9"/>
    <w:rsid w:val="00A26D1D"/>
    <w:pPr>
      <w:numPr>
        <w:ilvl w:val="5"/>
      </w:numPr>
    </w:pPr>
  </w:style>
  <w:style w:type="paragraph" w:customStyle="1" w:styleId="NTTBullet7">
    <w:name w:val="NTT Bullet 7"/>
    <w:basedOn w:val="Normln"/>
    <w:uiPriority w:val="9"/>
    <w:qFormat/>
    <w:rsid w:val="00A26D1D"/>
    <w:pPr>
      <w:numPr>
        <w:ilvl w:val="6"/>
        <w:numId w:val="39"/>
      </w:numPr>
      <w:spacing w:before="120" w:after="120" w:line="260" w:lineRule="atLeast"/>
    </w:pPr>
    <w:rPr>
      <w:rFonts w:ascii="Arial" w:eastAsia="Times New Roman" w:hAnsi="Arial" w:cs="Arial"/>
      <w:color w:val="000000"/>
      <w:spacing w:val="10"/>
      <w:kern w:val="20"/>
      <w:sz w:val="20"/>
      <w:szCs w:val="20"/>
    </w:rPr>
  </w:style>
  <w:style w:type="paragraph" w:customStyle="1" w:styleId="NTTBullet8">
    <w:name w:val="NTT Bullet 8"/>
    <w:basedOn w:val="NTTBullet7"/>
    <w:uiPriority w:val="9"/>
    <w:qFormat/>
    <w:rsid w:val="00A26D1D"/>
    <w:pPr>
      <w:numPr>
        <w:ilvl w:val="7"/>
      </w:numPr>
      <w:spacing w:before="60" w:after="60"/>
    </w:pPr>
  </w:style>
  <w:style w:type="paragraph" w:customStyle="1" w:styleId="NTTBullet9">
    <w:name w:val="NTT Bullet 9"/>
    <w:basedOn w:val="NTTBullet8"/>
    <w:uiPriority w:val="9"/>
    <w:qFormat/>
    <w:rsid w:val="00A26D1D"/>
    <w:pPr>
      <w:numPr>
        <w:ilvl w:val="8"/>
      </w:numPr>
      <w:spacing w:before="0" w:after="0"/>
    </w:pPr>
  </w:style>
  <w:style w:type="numbering" w:customStyle="1" w:styleId="NTTBulletList">
    <w:name w:val="_NTT Bullet List"/>
    <w:uiPriority w:val="89"/>
    <w:rsid w:val="00A26D1D"/>
    <w:pPr>
      <w:numPr>
        <w:numId w:val="39"/>
      </w:numPr>
    </w:pPr>
  </w:style>
  <w:style w:type="character" w:customStyle="1" w:styleId="OdstavecseseznamemChar">
    <w:name w:val="Odstavec se seznamem Char"/>
    <w:link w:val="Odstavecseseznamem"/>
    <w:uiPriority w:val="34"/>
    <w:locked/>
    <w:rsid w:val="00A26D1D"/>
  </w:style>
  <w:style w:type="paragraph" w:styleId="Revize">
    <w:name w:val="Revision"/>
    <w:hidden/>
    <w:uiPriority w:val="99"/>
    <w:semiHidden/>
    <w:rsid w:val="0071714C"/>
    <w:pPr>
      <w:spacing w:after="0" w:line="240" w:lineRule="auto"/>
    </w:pPr>
  </w:style>
  <w:style w:type="numbering" w:customStyle="1" w:styleId="NTTBulletList1">
    <w:name w:val="_NTT Bullet List1"/>
    <w:uiPriority w:val="89"/>
    <w:rsid w:val="0071714C"/>
  </w:style>
  <w:style w:type="character" w:styleId="Odkaznakoment">
    <w:name w:val="annotation reference"/>
    <w:basedOn w:val="Standardnpsmoodstavce"/>
    <w:uiPriority w:val="99"/>
    <w:semiHidden/>
    <w:unhideWhenUsed/>
    <w:rsid w:val="00127F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27F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27F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F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F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2C29C-3749-4C3F-BAC4-033CB3DC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681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14</cp:revision>
  <cp:lastPrinted>2017-11-28T17:18:00Z</cp:lastPrinted>
  <dcterms:created xsi:type="dcterms:W3CDTF">2022-09-19T10:18:00Z</dcterms:created>
  <dcterms:modified xsi:type="dcterms:W3CDTF">2022-10-11T10:56:00Z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